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A0" w:rsidRPr="009F2FA0" w:rsidRDefault="009F2FA0" w:rsidP="009F2FA0">
      <w:pPr>
        <w:adjustRightInd w:val="0"/>
        <w:snapToGrid w:val="0"/>
        <w:spacing w:line="360" w:lineRule="auto"/>
        <w:jc w:val="center"/>
        <w:rPr>
          <w:rFonts w:ascii="宋体" w:eastAsia="宋体" w:hAnsi="宋体" w:cs="Times New Roman"/>
          <w:szCs w:val="24"/>
        </w:rPr>
      </w:pPr>
      <w:r w:rsidRPr="009F2FA0">
        <w:rPr>
          <w:rFonts w:ascii="宋体" w:eastAsia="宋体" w:hAnsi="宋体" w:cs="Times New Roman" w:hint="eastAsia"/>
          <w:szCs w:val="24"/>
        </w:rPr>
        <w:t>证券代码：002396              证券简称：</w:t>
      </w:r>
      <w:proofErr w:type="gramStart"/>
      <w:r w:rsidRPr="009F2FA0">
        <w:rPr>
          <w:rFonts w:ascii="宋体" w:eastAsia="宋体" w:hAnsi="宋体" w:cs="Times New Roman" w:hint="eastAsia"/>
          <w:szCs w:val="24"/>
        </w:rPr>
        <w:t>星网锐捷</w:t>
      </w:r>
      <w:proofErr w:type="gramEnd"/>
      <w:r w:rsidRPr="009F2FA0">
        <w:rPr>
          <w:rFonts w:ascii="宋体" w:eastAsia="宋体" w:hAnsi="宋体" w:cs="Times New Roman" w:hint="eastAsia"/>
          <w:szCs w:val="24"/>
        </w:rPr>
        <w:t xml:space="preserve">           公告编号：临2017－</w:t>
      </w:r>
      <w:r>
        <w:rPr>
          <w:rFonts w:ascii="宋体" w:eastAsia="宋体" w:hAnsi="宋体" w:cs="Times New Roman" w:hint="eastAsia"/>
          <w:szCs w:val="24"/>
        </w:rPr>
        <w:t>59</w:t>
      </w:r>
    </w:p>
    <w:p w:rsidR="00797578" w:rsidRPr="009F2FA0" w:rsidRDefault="00797578" w:rsidP="009F2FA0">
      <w:pPr>
        <w:adjustRightInd w:val="0"/>
        <w:snapToGrid w:val="0"/>
        <w:spacing w:line="500" w:lineRule="exact"/>
        <w:jc w:val="center"/>
        <w:rPr>
          <w:rFonts w:ascii="宋体" w:eastAsia="宋体" w:hAnsi="宋体" w:cs="Times New Roman"/>
          <w:b/>
          <w:sz w:val="30"/>
          <w:szCs w:val="30"/>
        </w:rPr>
      </w:pPr>
      <w:r w:rsidRPr="009F2FA0">
        <w:rPr>
          <w:rFonts w:ascii="宋体" w:eastAsia="宋体" w:hAnsi="宋体" w:cs="Times New Roman" w:hint="eastAsia"/>
          <w:b/>
          <w:sz w:val="30"/>
          <w:szCs w:val="30"/>
        </w:rPr>
        <w:t>福建星网锐捷通讯股份有限公司</w:t>
      </w:r>
    </w:p>
    <w:p w:rsidR="009F2FA0" w:rsidRDefault="00797578" w:rsidP="009F2FA0">
      <w:pPr>
        <w:adjustRightInd w:val="0"/>
        <w:snapToGrid w:val="0"/>
        <w:spacing w:line="500" w:lineRule="exact"/>
        <w:jc w:val="center"/>
        <w:rPr>
          <w:rFonts w:ascii="宋体" w:eastAsia="宋体" w:hAnsi="宋体" w:cs="Times New Roman"/>
          <w:b/>
          <w:sz w:val="30"/>
          <w:szCs w:val="30"/>
        </w:rPr>
      </w:pPr>
      <w:r w:rsidRPr="009F2FA0">
        <w:rPr>
          <w:rFonts w:ascii="宋体" w:eastAsia="宋体" w:hAnsi="宋体" w:cs="Times New Roman" w:hint="eastAsia"/>
          <w:b/>
          <w:sz w:val="30"/>
          <w:szCs w:val="30"/>
        </w:rPr>
        <w:t>关于发行股份及支付现金购买资产暨关联交易报告书</w:t>
      </w:r>
    </w:p>
    <w:p w:rsidR="00FE31E5" w:rsidRPr="009F2FA0" w:rsidRDefault="00157C64" w:rsidP="009F2FA0">
      <w:pPr>
        <w:adjustRightInd w:val="0"/>
        <w:snapToGrid w:val="0"/>
        <w:spacing w:line="500" w:lineRule="exact"/>
        <w:jc w:val="center"/>
        <w:rPr>
          <w:rFonts w:ascii="宋体" w:eastAsia="宋体" w:hAnsi="宋体" w:cs="Times New Roman"/>
          <w:b/>
          <w:sz w:val="30"/>
          <w:szCs w:val="30"/>
        </w:rPr>
      </w:pPr>
      <w:r w:rsidRPr="009F2FA0">
        <w:rPr>
          <w:rFonts w:ascii="宋体" w:eastAsia="宋体" w:hAnsi="宋体" w:cs="Times New Roman" w:hint="eastAsia"/>
          <w:b/>
          <w:sz w:val="30"/>
          <w:szCs w:val="30"/>
        </w:rPr>
        <w:t>修订说明</w:t>
      </w:r>
      <w:r w:rsidR="00797578" w:rsidRPr="009F2FA0">
        <w:rPr>
          <w:rFonts w:ascii="宋体" w:eastAsia="宋体" w:hAnsi="宋体" w:cs="Times New Roman" w:hint="eastAsia"/>
          <w:b/>
          <w:sz w:val="30"/>
          <w:szCs w:val="30"/>
        </w:rPr>
        <w:t>公告</w:t>
      </w:r>
    </w:p>
    <w:p w:rsidR="00AB4855" w:rsidRDefault="00AB4855" w:rsidP="00AB4855">
      <w:pPr>
        <w:tabs>
          <w:tab w:val="left" w:pos="1380"/>
        </w:tabs>
        <w:spacing w:line="360" w:lineRule="auto"/>
        <w:ind w:rightChars="20" w:right="42" w:firstLineChars="200" w:firstLine="420"/>
        <w:rPr>
          <w:rFonts w:ascii="Times New Roman" w:eastAsia="宋体" w:hAnsi="Times New Roman" w:hint="eastAsia"/>
          <w:color w:val="000000"/>
          <w:sz w:val="24"/>
          <w:szCs w:val="24"/>
        </w:rPr>
      </w:pPr>
      <w:r w:rsidRPr="00D21ABE">
        <w:rPr>
          <w:rFonts w:ascii="楷体_GB2312" w:eastAsia="楷体_GB2312" w:hAnsi="宋体" w:cs="仿宋_GB2312" w:hint="eastAsia"/>
          <w:szCs w:val="21"/>
        </w:rPr>
        <w:t>本公司及董事会全体成员保证公告内容真实、准确和完整，不存在虚假记载、误导性陈述或者重大遗漏。</w:t>
      </w:r>
    </w:p>
    <w:p w:rsidR="0021547D" w:rsidRPr="00AB4855" w:rsidRDefault="00797578" w:rsidP="0021547D">
      <w:pPr>
        <w:spacing w:line="360" w:lineRule="auto"/>
        <w:ind w:rightChars="20" w:right="42" w:firstLine="567"/>
        <w:rPr>
          <w:rFonts w:ascii="宋体" w:eastAsia="宋体" w:hAnsi="宋体"/>
          <w:color w:val="000000"/>
          <w:sz w:val="24"/>
          <w:szCs w:val="24"/>
        </w:rPr>
      </w:pPr>
      <w:r w:rsidRPr="00AB4855">
        <w:rPr>
          <w:rFonts w:ascii="宋体" w:eastAsia="宋体" w:hAnsi="宋体" w:hint="eastAsia"/>
          <w:color w:val="000000"/>
          <w:sz w:val="24"/>
          <w:szCs w:val="24"/>
        </w:rPr>
        <w:t>福建星网锐捷通讯股份有限公司（以下简称</w:t>
      </w:r>
      <w:r w:rsidR="0021547D" w:rsidRPr="00AB4855">
        <w:rPr>
          <w:rFonts w:ascii="宋体" w:eastAsia="宋体" w:hAnsi="宋体" w:hint="eastAsia"/>
          <w:color w:val="000000"/>
          <w:sz w:val="24"/>
          <w:szCs w:val="24"/>
        </w:rPr>
        <w:t>“星网锐捷”、</w:t>
      </w:r>
      <w:r w:rsidRPr="00AB4855">
        <w:rPr>
          <w:rFonts w:ascii="宋体" w:eastAsia="宋体" w:hAnsi="宋体" w:hint="eastAsia"/>
          <w:color w:val="000000"/>
          <w:sz w:val="24"/>
          <w:szCs w:val="24"/>
        </w:rPr>
        <w:t>“公司”）</w:t>
      </w:r>
      <w:r w:rsidR="0021547D" w:rsidRPr="00AB4855">
        <w:rPr>
          <w:rFonts w:ascii="宋体" w:eastAsia="宋体" w:hAnsi="宋体"/>
          <w:color w:val="000000"/>
          <w:sz w:val="24"/>
          <w:szCs w:val="24"/>
        </w:rPr>
        <w:t>发行股份及支付现金购买资产暨关联交易事项于2017年</w:t>
      </w:r>
      <w:r w:rsidR="0021547D" w:rsidRPr="00AB4855">
        <w:rPr>
          <w:rFonts w:ascii="宋体" w:eastAsia="宋体" w:hAnsi="宋体" w:hint="eastAsia"/>
          <w:color w:val="000000"/>
          <w:sz w:val="24"/>
          <w:szCs w:val="24"/>
        </w:rPr>
        <w:t>6</w:t>
      </w:r>
      <w:r w:rsidR="0021547D" w:rsidRPr="00AB4855">
        <w:rPr>
          <w:rFonts w:ascii="宋体" w:eastAsia="宋体" w:hAnsi="宋体"/>
          <w:color w:val="000000"/>
          <w:sz w:val="24"/>
          <w:szCs w:val="24"/>
        </w:rPr>
        <w:t>月2日经中国证券监督管理委员会（以下简称</w:t>
      </w:r>
      <w:r w:rsidR="0021547D" w:rsidRPr="00AB4855">
        <w:rPr>
          <w:rFonts w:ascii="宋体" w:eastAsia="宋体" w:hAnsi="宋体" w:hint="eastAsia"/>
          <w:color w:val="000000"/>
          <w:sz w:val="24"/>
          <w:szCs w:val="24"/>
        </w:rPr>
        <w:t>“</w:t>
      </w:r>
      <w:r w:rsidR="0021547D" w:rsidRPr="00AB4855">
        <w:rPr>
          <w:rFonts w:ascii="宋体" w:eastAsia="宋体" w:hAnsi="宋体"/>
          <w:color w:val="000000"/>
          <w:sz w:val="24"/>
          <w:szCs w:val="24"/>
        </w:rPr>
        <w:t>中国证监会</w:t>
      </w:r>
      <w:r w:rsidR="0021547D" w:rsidRPr="00AB4855">
        <w:rPr>
          <w:rFonts w:ascii="宋体" w:eastAsia="宋体" w:hAnsi="宋体" w:hint="eastAsia"/>
          <w:color w:val="000000"/>
          <w:sz w:val="24"/>
          <w:szCs w:val="24"/>
        </w:rPr>
        <w:t>”</w:t>
      </w:r>
      <w:r w:rsidR="0021547D" w:rsidRPr="00AB4855">
        <w:rPr>
          <w:rFonts w:ascii="宋体" w:eastAsia="宋体" w:hAnsi="宋体"/>
          <w:color w:val="000000"/>
          <w:sz w:val="24"/>
          <w:szCs w:val="24"/>
        </w:rPr>
        <w:t>）上市公司并购重组审核委员会2017年第 2</w:t>
      </w:r>
      <w:r w:rsidR="0021547D" w:rsidRPr="00AB4855">
        <w:rPr>
          <w:rFonts w:ascii="宋体" w:eastAsia="宋体" w:hAnsi="宋体" w:hint="eastAsia"/>
          <w:color w:val="000000"/>
          <w:sz w:val="24"/>
          <w:szCs w:val="24"/>
        </w:rPr>
        <w:t>7</w:t>
      </w:r>
      <w:r w:rsidR="0021547D" w:rsidRPr="00AB4855">
        <w:rPr>
          <w:rFonts w:ascii="宋体" w:eastAsia="宋体" w:hAnsi="宋体"/>
          <w:color w:val="000000"/>
          <w:sz w:val="24"/>
          <w:szCs w:val="24"/>
        </w:rPr>
        <w:t>次并购重组委工作会议审核通过。2017年</w:t>
      </w:r>
      <w:r w:rsidR="0021547D" w:rsidRPr="00AB4855">
        <w:rPr>
          <w:rFonts w:ascii="宋体" w:eastAsia="宋体" w:hAnsi="宋体" w:hint="eastAsia"/>
          <w:color w:val="000000"/>
          <w:sz w:val="24"/>
          <w:szCs w:val="24"/>
        </w:rPr>
        <w:t>7</w:t>
      </w:r>
      <w:r w:rsidR="0021547D" w:rsidRPr="00AB4855">
        <w:rPr>
          <w:rFonts w:ascii="宋体" w:eastAsia="宋体" w:hAnsi="宋体"/>
          <w:color w:val="000000"/>
          <w:sz w:val="24"/>
          <w:szCs w:val="24"/>
        </w:rPr>
        <w:t>月</w:t>
      </w:r>
      <w:r w:rsidR="00455FAD" w:rsidRPr="00AB4855">
        <w:rPr>
          <w:rFonts w:ascii="宋体" w:eastAsia="宋体" w:hAnsi="宋体" w:hint="eastAsia"/>
          <w:color w:val="000000"/>
          <w:sz w:val="24"/>
          <w:szCs w:val="24"/>
        </w:rPr>
        <w:t>2</w:t>
      </w:r>
      <w:r w:rsidR="00F8428A" w:rsidRPr="00AB4855">
        <w:rPr>
          <w:rFonts w:ascii="宋体" w:eastAsia="宋体" w:hAnsi="宋体" w:hint="eastAsia"/>
          <w:color w:val="000000"/>
          <w:sz w:val="24"/>
          <w:szCs w:val="24"/>
        </w:rPr>
        <w:t>6</w:t>
      </w:r>
      <w:r w:rsidR="0021547D" w:rsidRPr="00AB4855">
        <w:rPr>
          <w:rFonts w:ascii="宋体" w:eastAsia="宋体" w:hAnsi="宋体"/>
          <w:color w:val="000000"/>
          <w:sz w:val="24"/>
          <w:szCs w:val="24"/>
        </w:rPr>
        <w:t>日，公司收到中国证监会《关于核准</w:t>
      </w:r>
      <w:r w:rsidR="0021547D" w:rsidRPr="00AB4855">
        <w:rPr>
          <w:rFonts w:ascii="宋体" w:eastAsia="宋体" w:hAnsi="宋体" w:hint="eastAsia"/>
          <w:color w:val="000000"/>
          <w:sz w:val="24"/>
          <w:szCs w:val="24"/>
        </w:rPr>
        <w:t>福建星网锐捷通讯</w:t>
      </w:r>
      <w:r w:rsidR="0021547D" w:rsidRPr="00AB4855">
        <w:rPr>
          <w:rFonts w:ascii="宋体" w:eastAsia="宋体" w:hAnsi="宋体"/>
          <w:color w:val="000000"/>
          <w:sz w:val="24"/>
          <w:szCs w:val="24"/>
        </w:rPr>
        <w:t>股份有限公司向</w:t>
      </w:r>
      <w:r w:rsidR="0021547D" w:rsidRPr="00AB4855">
        <w:rPr>
          <w:rFonts w:ascii="宋体" w:eastAsia="宋体" w:hAnsi="宋体" w:hint="eastAsia"/>
          <w:color w:val="000000"/>
          <w:sz w:val="24"/>
          <w:szCs w:val="24"/>
        </w:rPr>
        <w:t>福建隽丰投资有限公司</w:t>
      </w:r>
      <w:r w:rsidR="0021547D" w:rsidRPr="00AB4855">
        <w:rPr>
          <w:rFonts w:ascii="宋体" w:eastAsia="宋体" w:hAnsi="宋体"/>
          <w:color w:val="000000"/>
          <w:sz w:val="24"/>
          <w:szCs w:val="24"/>
        </w:rPr>
        <w:t>等发行股份购买资产的批复》（证监许可</w:t>
      </w:r>
      <w:r w:rsidR="0021547D" w:rsidRPr="00AB4855">
        <w:rPr>
          <w:rFonts w:ascii="宋体" w:eastAsia="宋体" w:hAnsi="宋体" w:hint="eastAsia"/>
          <w:color w:val="000000"/>
          <w:sz w:val="24"/>
          <w:szCs w:val="24"/>
        </w:rPr>
        <w:t>【</w:t>
      </w:r>
      <w:r w:rsidR="0021547D" w:rsidRPr="00AB4855">
        <w:rPr>
          <w:rFonts w:ascii="宋体" w:eastAsia="宋体" w:hAnsi="宋体"/>
          <w:color w:val="000000"/>
          <w:sz w:val="24"/>
          <w:szCs w:val="24"/>
        </w:rPr>
        <w:t>2017</w:t>
      </w:r>
      <w:r w:rsidR="0021547D" w:rsidRPr="00AB4855">
        <w:rPr>
          <w:rFonts w:ascii="宋体" w:eastAsia="宋体" w:hAnsi="宋体" w:hint="eastAsia"/>
          <w:color w:val="000000"/>
          <w:sz w:val="24"/>
          <w:szCs w:val="24"/>
        </w:rPr>
        <w:t>】</w:t>
      </w:r>
      <w:r w:rsidR="00455FAD" w:rsidRPr="00AB4855">
        <w:rPr>
          <w:rFonts w:ascii="宋体" w:eastAsia="宋体" w:hAnsi="宋体"/>
          <w:color w:val="000000"/>
          <w:sz w:val="24"/>
          <w:szCs w:val="24"/>
        </w:rPr>
        <w:t>1326</w:t>
      </w:r>
      <w:r w:rsidR="0021547D" w:rsidRPr="00AB4855">
        <w:rPr>
          <w:rFonts w:ascii="宋体" w:eastAsia="宋体" w:hAnsi="宋体" w:hint="eastAsia"/>
          <w:color w:val="000000"/>
          <w:sz w:val="24"/>
          <w:szCs w:val="24"/>
        </w:rPr>
        <w:t>号</w:t>
      </w:r>
      <w:r w:rsidR="0021547D" w:rsidRPr="00AB4855">
        <w:rPr>
          <w:rFonts w:ascii="宋体" w:eastAsia="宋体" w:hAnsi="宋体"/>
          <w:color w:val="000000"/>
          <w:sz w:val="24"/>
          <w:szCs w:val="24"/>
        </w:rPr>
        <w:t>），本次</w:t>
      </w:r>
      <w:proofErr w:type="gramStart"/>
      <w:r w:rsidR="0021547D" w:rsidRPr="00AB4855">
        <w:rPr>
          <w:rFonts w:ascii="宋体" w:eastAsia="宋体" w:hAnsi="宋体"/>
          <w:color w:val="000000"/>
          <w:sz w:val="24"/>
          <w:szCs w:val="24"/>
        </w:rPr>
        <w:t>交易获</w:t>
      </w:r>
      <w:proofErr w:type="gramEnd"/>
      <w:r w:rsidR="0021547D" w:rsidRPr="00AB4855">
        <w:rPr>
          <w:rFonts w:ascii="宋体" w:eastAsia="宋体" w:hAnsi="宋体"/>
          <w:color w:val="000000"/>
          <w:sz w:val="24"/>
          <w:szCs w:val="24"/>
        </w:rPr>
        <w:t>中国证监会核准。</w:t>
      </w:r>
    </w:p>
    <w:p w:rsidR="00157C64" w:rsidRPr="00AB4855" w:rsidRDefault="0021547D" w:rsidP="00E33B72">
      <w:pPr>
        <w:spacing w:line="360" w:lineRule="auto"/>
        <w:ind w:rightChars="20" w:right="42" w:firstLine="567"/>
        <w:rPr>
          <w:rFonts w:ascii="宋体" w:eastAsia="宋体" w:hAnsi="宋体"/>
          <w:color w:val="000000"/>
          <w:sz w:val="24"/>
          <w:szCs w:val="24"/>
        </w:rPr>
      </w:pPr>
      <w:r w:rsidRPr="00AB4855">
        <w:rPr>
          <w:rFonts w:ascii="宋体" w:eastAsia="宋体" w:hAnsi="宋体" w:hint="eastAsia"/>
          <w:color w:val="000000"/>
          <w:sz w:val="24"/>
          <w:szCs w:val="24"/>
        </w:rPr>
        <w:t>根据</w:t>
      </w:r>
      <w:r w:rsidR="004F2366" w:rsidRPr="00AB4855">
        <w:rPr>
          <w:rFonts w:ascii="宋体" w:eastAsia="宋体" w:hAnsi="宋体" w:hint="eastAsia"/>
          <w:color w:val="000000"/>
          <w:sz w:val="24"/>
          <w:szCs w:val="24"/>
        </w:rPr>
        <w:t>中国证监会对公司本次</w:t>
      </w:r>
      <w:r w:rsidRPr="00AB4855">
        <w:rPr>
          <w:rFonts w:ascii="宋体" w:eastAsia="宋体" w:hAnsi="宋体" w:hint="eastAsia"/>
          <w:color w:val="000000"/>
          <w:sz w:val="24"/>
          <w:szCs w:val="24"/>
        </w:rPr>
        <w:t>发行股份</w:t>
      </w:r>
      <w:r w:rsidR="004F2366" w:rsidRPr="00AB4855">
        <w:rPr>
          <w:rFonts w:ascii="宋体" w:eastAsia="宋体" w:hAnsi="宋体" w:hint="eastAsia"/>
          <w:color w:val="000000"/>
          <w:sz w:val="24"/>
          <w:szCs w:val="24"/>
        </w:rPr>
        <w:t>及支付现金</w:t>
      </w:r>
      <w:r w:rsidRPr="00AB4855">
        <w:rPr>
          <w:rFonts w:ascii="宋体" w:eastAsia="宋体" w:hAnsi="宋体" w:hint="eastAsia"/>
          <w:color w:val="000000"/>
          <w:sz w:val="24"/>
          <w:szCs w:val="24"/>
        </w:rPr>
        <w:t>购买资产</w:t>
      </w:r>
      <w:r w:rsidR="004F2366" w:rsidRPr="00AB4855">
        <w:rPr>
          <w:rFonts w:ascii="宋体" w:eastAsia="宋体" w:hAnsi="宋体" w:hint="eastAsia"/>
          <w:color w:val="000000"/>
          <w:sz w:val="24"/>
          <w:szCs w:val="24"/>
        </w:rPr>
        <w:t>暨关联交易的核准批复，结合本公司2016年权益分派实施情况，</w:t>
      </w:r>
      <w:r w:rsidR="00157C64" w:rsidRPr="00AB4855">
        <w:rPr>
          <w:rFonts w:ascii="宋体" w:eastAsia="宋体" w:hAnsi="宋体"/>
          <w:color w:val="000000"/>
          <w:sz w:val="24"/>
          <w:szCs w:val="24"/>
        </w:rPr>
        <w:t>本公司对报告书进行了修订、补充和完善</w:t>
      </w:r>
      <w:r w:rsidR="00E33B72" w:rsidRPr="00AB4855">
        <w:rPr>
          <w:rFonts w:ascii="宋体" w:eastAsia="宋体" w:hAnsi="宋体" w:hint="eastAsia"/>
          <w:color w:val="000000"/>
          <w:sz w:val="24"/>
          <w:szCs w:val="24"/>
        </w:rPr>
        <w:t>，</w:t>
      </w:r>
      <w:r w:rsidR="004F2366" w:rsidRPr="00AB4855">
        <w:rPr>
          <w:rFonts w:ascii="宋体" w:eastAsia="宋体" w:hAnsi="宋体" w:hint="eastAsia"/>
          <w:color w:val="000000"/>
          <w:sz w:val="24"/>
          <w:szCs w:val="24"/>
        </w:rPr>
        <w:t>修订</w:t>
      </w:r>
      <w:r w:rsidR="00157C64" w:rsidRPr="00AB4855">
        <w:rPr>
          <w:rFonts w:ascii="宋体" w:eastAsia="宋体" w:hAnsi="宋体"/>
          <w:color w:val="000000"/>
          <w:sz w:val="24"/>
          <w:szCs w:val="24"/>
        </w:rPr>
        <w:t>的主要内</w:t>
      </w:r>
      <w:r w:rsidR="00157C64" w:rsidRPr="00AB4855">
        <w:rPr>
          <w:rFonts w:ascii="宋体" w:eastAsia="宋体" w:hAnsi="宋体" w:hint="eastAsia"/>
          <w:color w:val="000000"/>
          <w:sz w:val="24"/>
          <w:szCs w:val="24"/>
        </w:rPr>
        <w:t>容如下：</w:t>
      </w:r>
    </w:p>
    <w:p w:rsidR="00797578" w:rsidRPr="00AB4855" w:rsidRDefault="00644BD4" w:rsidP="00797578">
      <w:pPr>
        <w:spacing w:line="360" w:lineRule="auto"/>
        <w:ind w:rightChars="20" w:right="42" w:firstLine="567"/>
        <w:rPr>
          <w:rFonts w:ascii="宋体" w:eastAsia="宋体" w:hAnsi="宋体"/>
          <w:color w:val="000000"/>
          <w:sz w:val="24"/>
          <w:szCs w:val="24"/>
        </w:rPr>
      </w:pPr>
      <w:r w:rsidRPr="00AB4855">
        <w:rPr>
          <w:rFonts w:ascii="宋体" w:eastAsia="宋体" w:hAnsi="宋体" w:hint="eastAsia"/>
          <w:color w:val="000000"/>
          <w:sz w:val="24"/>
          <w:szCs w:val="24"/>
        </w:rPr>
        <w:t>1、</w:t>
      </w:r>
      <w:r w:rsidR="00797578" w:rsidRPr="00AB4855">
        <w:rPr>
          <w:rFonts w:ascii="宋体" w:eastAsia="宋体" w:hAnsi="宋体" w:hint="eastAsia"/>
          <w:color w:val="000000"/>
          <w:sz w:val="24"/>
          <w:szCs w:val="24"/>
        </w:rPr>
        <w:t>在报告书“重大事项提示</w:t>
      </w:r>
      <w:r w:rsidR="00797578" w:rsidRPr="00AB4855">
        <w:rPr>
          <w:rFonts w:ascii="宋体" w:eastAsia="宋体" w:hAnsi="宋体"/>
          <w:color w:val="000000"/>
          <w:sz w:val="24"/>
          <w:szCs w:val="24"/>
        </w:rPr>
        <w:t>/</w:t>
      </w:r>
      <w:r w:rsidR="00797578" w:rsidRPr="00AB4855">
        <w:rPr>
          <w:rFonts w:ascii="宋体" w:eastAsia="宋体" w:hAnsi="宋体" w:hint="eastAsia"/>
          <w:color w:val="000000"/>
          <w:sz w:val="24"/>
          <w:szCs w:val="24"/>
        </w:rPr>
        <w:t>五</w:t>
      </w:r>
      <w:r w:rsidR="00797578" w:rsidRPr="00AB4855">
        <w:rPr>
          <w:rFonts w:ascii="宋体" w:eastAsia="宋体" w:hAnsi="宋体"/>
          <w:color w:val="000000"/>
          <w:sz w:val="24"/>
          <w:szCs w:val="24"/>
        </w:rPr>
        <w:t>、</w:t>
      </w:r>
      <w:r w:rsidR="00797578" w:rsidRPr="00AB4855">
        <w:rPr>
          <w:rFonts w:ascii="宋体" w:eastAsia="宋体" w:hAnsi="宋体" w:hint="eastAsia"/>
          <w:color w:val="000000"/>
          <w:sz w:val="24"/>
          <w:szCs w:val="24"/>
        </w:rPr>
        <w:t>本次交易的支付方式</w:t>
      </w:r>
      <w:r w:rsidR="00797578" w:rsidRPr="00AB4855">
        <w:rPr>
          <w:rFonts w:ascii="宋体" w:eastAsia="宋体" w:hAnsi="宋体"/>
          <w:color w:val="000000"/>
          <w:sz w:val="24"/>
          <w:szCs w:val="24"/>
        </w:rPr>
        <w:t>/（</w:t>
      </w:r>
      <w:r w:rsidR="00797578" w:rsidRPr="00AB4855">
        <w:rPr>
          <w:rFonts w:ascii="宋体" w:eastAsia="宋体" w:hAnsi="宋体" w:hint="eastAsia"/>
          <w:color w:val="000000"/>
          <w:sz w:val="24"/>
          <w:szCs w:val="24"/>
        </w:rPr>
        <w:t>二</w:t>
      </w:r>
      <w:r w:rsidR="00797578" w:rsidRPr="00AB4855">
        <w:rPr>
          <w:rFonts w:ascii="宋体" w:eastAsia="宋体" w:hAnsi="宋体"/>
          <w:color w:val="000000"/>
          <w:sz w:val="24"/>
          <w:szCs w:val="24"/>
        </w:rPr>
        <w:t>）</w:t>
      </w:r>
      <w:r w:rsidR="00797578" w:rsidRPr="00AB4855">
        <w:rPr>
          <w:rFonts w:ascii="宋体" w:eastAsia="宋体" w:hAnsi="宋体" w:hint="eastAsia"/>
          <w:color w:val="000000"/>
          <w:sz w:val="24"/>
          <w:szCs w:val="24"/>
        </w:rPr>
        <w:t>本次交易中的股份支付”、“第五节</w:t>
      </w:r>
      <w:r w:rsidR="00797578" w:rsidRPr="00AB4855">
        <w:rPr>
          <w:rFonts w:ascii="宋体" w:eastAsia="宋体" w:hAnsi="宋体"/>
          <w:color w:val="000000"/>
          <w:sz w:val="24"/>
          <w:szCs w:val="24"/>
        </w:rPr>
        <w:t xml:space="preserve"> </w:t>
      </w:r>
      <w:r w:rsidR="00797578" w:rsidRPr="00AB4855">
        <w:rPr>
          <w:rFonts w:ascii="宋体" w:eastAsia="宋体" w:hAnsi="宋体" w:hint="eastAsia"/>
          <w:color w:val="000000"/>
          <w:sz w:val="24"/>
          <w:szCs w:val="24"/>
        </w:rPr>
        <w:t>发行股份情况</w:t>
      </w:r>
      <w:r w:rsidR="00797578" w:rsidRPr="00AB4855">
        <w:rPr>
          <w:rFonts w:ascii="宋体" w:eastAsia="宋体" w:hAnsi="宋体"/>
          <w:color w:val="000000"/>
          <w:sz w:val="24"/>
          <w:szCs w:val="24"/>
        </w:rPr>
        <w:t>/</w:t>
      </w:r>
      <w:r w:rsidR="00797578" w:rsidRPr="00AB4855">
        <w:rPr>
          <w:rFonts w:ascii="宋体" w:eastAsia="宋体" w:hAnsi="宋体" w:hint="eastAsia"/>
          <w:color w:val="000000"/>
          <w:sz w:val="24"/>
          <w:szCs w:val="24"/>
        </w:rPr>
        <w:t>二</w:t>
      </w:r>
      <w:r w:rsidR="00797578" w:rsidRPr="00AB4855">
        <w:rPr>
          <w:rFonts w:ascii="宋体" w:eastAsia="宋体" w:hAnsi="宋体"/>
          <w:color w:val="000000"/>
          <w:sz w:val="24"/>
          <w:szCs w:val="24"/>
        </w:rPr>
        <w:t>、</w:t>
      </w:r>
      <w:r w:rsidR="00797578" w:rsidRPr="00AB4855">
        <w:rPr>
          <w:rFonts w:ascii="宋体" w:eastAsia="宋体" w:hAnsi="宋体" w:hint="eastAsia"/>
          <w:color w:val="000000"/>
          <w:sz w:val="24"/>
          <w:szCs w:val="24"/>
        </w:rPr>
        <w:t>发行股份购买资产</w:t>
      </w:r>
      <w:r w:rsidR="00797578" w:rsidRPr="00AB4855">
        <w:rPr>
          <w:rFonts w:ascii="宋体" w:eastAsia="宋体" w:hAnsi="宋体"/>
          <w:color w:val="000000"/>
          <w:sz w:val="24"/>
          <w:szCs w:val="24"/>
        </w:rPr>
        <w:t>/（三）</w:t>
      </w:r>
      <w:r w:rsidR="00797578" w:rsidRPr="00AB4855">
        <w:rPr>
          <w:rFonts w:ascii="宋体" w:eastAsia="宋体" w:hAnsi="宋体" w:hint="eastAsia"/>
          <w:color w:val="000000"/>
          <w:sz w:val="24"/>
          <w:szCs w:val="24"/>
        </w:rPr>
        <w:t>发行价格和定价依据”</w:t>
      </w:r>
      <w:r w:rsidR="00484008" w:rsidRPr="00AB4855">
        <w:rPr>
          <w:rFonts w:ascii="宋体" w:eastAsia="宋体" w:hAnsi="宋体" w:hint="eastAsia"/>
          <w:color w:val="000000"/>
          <w:sz w:val="24"/>
          <w:szCs w:val="24"/>
        </w:rPr>
        <w:t>、“第五节</w:t>
      </w:r>
      <w:r w:rsidR="00484008" w:rsidRPr="00AB4855">
        <w:rPr>
          <w:rFonts w:ascii="宋体" w:eastAsia="宋体" w:hAnsi="宋体"/>
          <w:color w:val="000000"/>
          <w:sz w:val="24"/>
          <w:szCs w:val="24"/>
        </w:rPr>
        <w:t xml:space="preserve"> </w:t>
      </w:r>
      <w:r w:rsidR="00484008" w:rsidRPr="00AB4855">
        <w:rPr>
          <w:rFonts w:ascii="宋体" w:eastAsia="宋体" w:hAnsi="宋体" w:hint="eastAsia"/>
          <w:color w:val="000000"/>
          <w:sz w:val="24"/>
          <w:szCs w:val="24"/>
        </w:rPr>
        <w:t>发行股份情况</w:t>
      </w:r>
      <w:r w:rsidR="00484008" w:rsidRPr="00AB4855">
        <w:rPr>
          <w:rFonts w:ascii="宋体" w:eastAsia="宋体" w:hAnsi="宋体"/>
          <w:color w:val="000000"/>
          <w:sz w:val="24"/>
          <w:szCs w:val="24"/>
        </w:rPr>
        <w:t>/</w:t>
      </w:r>
      <w:r w:rsidR="00484008" w:rsidRPr="00AB4855">
        <w:rPr>
          <w:rFonts w:ascii="宋体" w:eastAsia="宋体" w:hAnsi="宋体" w:hint="eastAsia"/>
          <w:color w:val="000000"/>
          <w:sz w:val="24"/>
          <w:szCs w:val="24"/>
        </w:rPr>
        <w:t>二</w:t>
      </w:r>
      <w:r w:rsidR="00484008" w:rsidRPr="00AB4855">
        <w:rPr>
          <w:rFonts w:ascii="宋体" w:eastAsia="宋体" w:hAnsi="宋体"/>
          <w:color w:val="000000"/>
          <w:sz w:val="24"/>
          <w:szCs w:val="24"/>
        </w:rPr>
        <w:t>、</w:t>
      </w:r>
      <w:r w:rsidR="00484008" w:rsidRPr="00AB4855">
        <w:rPr>
          <w:rFonts w:ascii="宋体" w:eastAsia="宋体" w:hAnsi="宋体" w:hint="eastAsia"/>
          <w:color w:val="000000"/>
          <w:sz w:val="24"/>
          <w:szCs w:val="24"/>
        </w:rPr>
        <w:t>发行股份购买资产</w:t>
      </w:r>
      <w:r w:rsidR="00484008" w:rsidRPr="00AB4855">
        <w:rPr>
          <w:rFonts w:ascii="宋体" w:eastAsia="宋体" w:hAnsi="宋体"/>
          <w:color w:val="000000"/>
          <w:sz w:val="24"/>
          <w:szCs w:val="24"/>
        </w:rPr>
        <w:t>/（</w:t>
      </w:r>
      <w:r w:rsidR="00484008" w:rsidRPr="00AB4855">
        <w:rPr>
          <w:rFonts w:ascii="宋体" w:eastAsia="宋体" w:hAnsi="宋体" w:hint="eastAsia"/>
          <w:color w:val="000000"/>
          <w:sz w:val="24"/>
          <w:szCs w:val="24"/>
        </w:rPr>
        <w:t>四</w:t>
      </w:r>
      <w:r w:rsidR="00484008" w:rsidRPr="00AB4855">
        <w:rPr>
          <w:rFonts w:ascii="宋体" w:eastAsia="宋体" w:hAnsi="宋体"/>
          <w:color w:val="000000"/>
          <w:sz w:val="24"/>
          <w:szCs w:val="24"/>
        </w:rPr>
        <w:t>）</w:t>
      </w:r>
      <w:r w:rsidR="00484008" w:rsidRPr="00AB4855">
        <w:rPr>
          <w:rFonts w:ascii="宋体" w:eastAsia="宋体" w:hAnsi="宋体" w:hint="eastAsia"/>
          <w:color w:val="000000"/>
          <w:sz w:val="24"/>
          <w:szCs w:val="24"/>
        </w:rPr>
        <w:t>发行数量”</w:t>
      </w:r>
      <w:r w:rsidR="006E67AD" w:rsidRPr="00AB4855">
        <w:rPr>
          <w:rFonts w:ascii="宋体" w:eastAsia="宋体" w:hAnsi="宋体" w:hint="eastAsia"/>
          <w:color w:val="000000"/>
          <w:sz w:val="24"/>
          <w:szCs w:val="24"/>
        </w:rPr>
        <w:t>部分</w:t>
      </w:r>
      <w:r w:rsidR="00797578" w:rsidRPr="00AB4855">
        <w:rPr>
          <w:rFonts w:ascii="宋体" w:eastAsia="宋体" w:hAnsi="宋体"/>
          <w:color w:val="000000"/>
          <w:sz w:val="24"/>
          <w:szCs w:val="24"/>
        </w:rPr>
        <w:t>补充披露因</w:t>
      </w:r>
      <w:r w:rsidR="00797578" w:rsidRPr="00AB4855">
        <w:rPr>
          <w:rFonts w:ascii="宋体" w:eastAsia="宋体" w:hAnsi="宋体" w:hint="eastAsia"/>
          <w:color w:val="000000"/>
          <w:sz w:val="24"/>
          <w:szCs w:val="24"/>
        </w:rPr>
        <w:t>利润分配调整发行价格及发行数量的相关内容。</w:t>
      </w:r>
    </w:p>
    <w:p w:rsidR="000C5FC9" w:rsidRPr="00AB4855" w:rsidRDefault="00644BD4" w:rsidP="000C5FC9">
      <w:pPr>
        <w:spacing w:line="360" w:lineRule="auto"/>
        <w:ind w:rightChars="20" w:right="42" w:firstLine="567"/>
        <w:rPr>
          <w:rFonts w:ascii="宋体" w:eastAsia="宋体" w:hAnsi="宋体"/>
          <w:color w:val="000000"/>
          <w:sz w:val="24"/>
          <w:szCs w:val="24"/>
        </w:rPr>
      </w:pPr>
      <w:r w:rsidRPr="00AB4855">
        <w:rPr>
          <w:rFonts w:ascii="宋体" w:eastAsia="宋体" w:hAnsi="宋体"/>
          <w:color w:val="000000"/>
          <w:sz w:val="24"/>
          <w:szCs w:val="24"/>
        </w:rPr>
        <w:t>2</w:t>
      </w:r>
      <w:r w:rsidRPr="00AB4855">
        <w:rPr>
          <w:rFonts w:ascii="宋体" w:eastAsia="宋体" w:hAnsi="宋体" w:hint="eastAsia"/>
          <w:color w:val="000000"/>
          <w:sz w:val="24"/>
          <w:szCs w:val="24"/>
        </w:rPr>
        <w:t>、</w:t>
      </w:r>
      <w:r w:rsidR="000C5FC9" w:rsidRPr="00AB4855">
        <w:rPr>
          <w:rFonts w:ascii="宋体" w:eastAsia="宋体" w:hAnsi="宋体" w:hint="eastAsia"/>
          <w:color w:val="000000"/>
          <w:sz w:val="24"/>
          <w:szCs w:val="24"/>
        </w:rPr>
        <w:t>在</w:t>
      </w:r>
      <w:r w:rsidR="000C5FC9" w:rsidRPr="00AB4855">
        <w:rPr>
          <w:rFonts w:ascii="宋体" w:eastAsia="宋体" w:hAnsi="宋体"/>
          <w:color w:val="000000"/>
          <w:sz w:val="24"/>
          <w:szCs w:val="24"/>
        </w:rPr>
        <w:t>报告书</w:t>
      </w:r>
      <w:r w:rsidR="000C5FC9" w:rsidRPr="00AB4855">
        <w:rPr>
          <w:rFonts w:ascii="宋体" w:eastAsia="宋体" w:hAnsi="宋体" w:hint="eastAsia"/>
          <w:color w:val="000000"/>
          <w:sz w:val="24"/>
          <w:szCs w:val="24"/>
        </w:rPr>
        <w:t>“</w:t>
      </w:r>
      <w:r w:rsidR="00E77669" w:rsidRPr="00AB4855">
        <w:rPr>
          <w:rFonts w:ascii="宋体" w:eastAsia="宋体" w:hAnsi="宋体" w:hint="eastAsia"/>
          <w:color w:val="000000"/>
          <w:sz w:val="24"/>
          <w:szCs w:val="24"/>
        </w:rPr>
        <w:t>重大事项提示</w:t>
      </w:r>
      <w:r w:rsidR="000C5FC9" w:rsidRPr="00AB4855">
        <w:rPr>
          <w:rFonts w:ascii="宋体" w:eastAsia="宋体" w:hAnsi="宋体" w:hint="eastAsia"/>
          <w:color w:val="000000"/>
          <w:sz w:val="24"/>
          <w:szCs w:val="24"/>
        </w:rPr>
        <w:t>/</w:t>
      </w:r>
      <w:r w:rsidR="00E77669" w:rsidRPr="00AB4855">
        <w:rPr>
          <w:rFonts w:ascii="宋体" w:eastAsia="宋体" w:hAnsi="宋体" w:hint="eastAsia"/>
          <w:color w:val="000000"/>
          <w:sz w:val="24"/>
          <w:szCs w:val="24"/>
        </w:rPr>
        <w:t>八</w:t>
      </w:r>
      <w:r w:rsidR="000C5FC9" w:rsidRPr="00AB4855">
        <w:rPr>
          <w:rFonts w:ascii="宋体" w:eastAsia="宋体" w:hAnsi="宋体" w:hint="eastAsia"/>
          <w:color w:val="000000"/>
          <w:sz w:val="24"/>
          <w:szCs w:val="24"/>
        </w:rPr>
        <w:t>、</w:t>
      </w:r>
      <w:r w:rsidR="00E77669" w:rsidRPr="00AB4855">
        <w:rPr>
          <w:rFonts w:ascii="宋体" w:eastAsia="宋体" w:hAnsi="宋体" w:hint="eastAsia"/>
          <w:color w:val="000000"/>
          <w:sz w:val="24"/>
          <w:szCs w:val="24"/>
        </w:rPr>
        <w:t>本次交易对上市公司的影响</w:t>
      </w:r>
      <w:r w:rsidR="000C5FC9" w:rsidRPr="00AB4855">
        <w:rPr>
          <w:rFonts w:ascii="宋体" w:eastAsia="宋体" w:hAnsi="宋体" w:hint="eastAsia"/>
          <w:color w:val="000000"/>
          <w:sz w:val="24"/>
          <w:szCs w:val="24"/>
        </w:rPr>
        <w:t>/</w:t>
      </w:r>
      <w:r w:rsidR="0021189A" w:rsidRPr="00AB4855">
        <w:rPr>
          <w:rFonts w:ascii="宋体" w:eastAsia="宋体" w:hAnsi="宋体" w:hint="eastAsia"/>
          <w:color w:val="000000"/>
          <w:sz w:val="24"/>
          <w:szCs w:val="24"/>
        </w:rPr>
        <w:t>（</w:t>
      </w:r>
      <w:r w:rsidR="00E77669" w:rsidRPr="00AB4855">
        <w:rPr>
          <w:rFonts w:ascii="宋体" w:eastAsia="宋体" w:hAnsi="宋体" w:hint="eastAsia"/>
          <w:color w:val="000000"/>
          <w:sz w:val="24"/>
          <w:szCs w:val="24"/>
        </w:rPr>
        <w:t>一</w:t>
      </w:r>
      <w:r w:rsidR="0021189A" w:rsidRPr="00AB4855">
        <w:rPr>
          <w:rFonts w:ascii="宋体" w:eastAsia="宋体" w:hAnsi="宋体" w:hint="eastAsia"/>
          <w:color w:val="000000"/>
          <w:sz w:val="24"/>
          <w:szCs w:val="24"/>
        </w:rPr>
        <w:t>）</w:t>
      </w:r>
      <w:r w:rsidR="00E77669" w:rsidRPr="00AB4855">
        <w:rPr>
          <w:rFonts w:ascii="宋体" w:eastAsia="宋体" w:hAnsi="宋体" w:hint="eastAsia"/>
          <w:color w:val="000000"/>
          <w:sz w:val="24"/>
          <w:szCs w:val="24"/>
        </w:rPr>
        <w:t>本次交易对上市公司股权结构的影响</w:t>
      </w:r>
      <w:r w:rsidR="0021189A" w:rsidRPr="00AB4855">
        <w:rPr>
          <w:rFonts w:ascii="宋体" w:eastAsia="宋体" w:hAnsi="宋体" w:hint="eastAsia"/>
          <w:color w:val="000000"/>
          <w:sz w:val="24"/>
          <w:szCs w:val="24"/>
        </w:rPr>
        <w:t>”</w:t>
      </w:r>
      <w:r w:rsidR="00E77669" w:rsidRPr="00AB4855">
        <w:rPr>
          <w:rFonts w:ascii="宋体" w:eastAsia="宋体" w:hAnsi="宋体" w:hint="eastAsia"/>
          <w:color w:val="000000"/>
          <w:sz w:val="24"/>
          <w:szCs w:val="24"/>
        </w:rPr>
        <w:t>、“</w:t>
      </w:r>
      <w:r w:rsidR="006E67AD" w:rsidRPr="00AB4855">
        <w:rPr>
          <w:rFonts w:ascii="宋体" w:eastAsia="宋体" w:hAnsi="宋体" w:hint="eastAsia"/>
          <w:color w:val="000000"/>
          <w:sz w:val="24"/>
          <w:szCs w:val="24"/>
        </w:rPr>
        <w:t xml:space="preserve">第一节 </w:t>
      </w:r>
      <w:r w:rsidR="00E77669" w:rsidRPr="00AB4855">
        <w:rPr>
          <w:rFonts w:ascii="宋体" w:eastAsia="宋体" w:hAnsi="宋体" w:hint="eastAsia"/>
          <w:color w:val="000000"/>
          <w:sz w:val="24"/>
          <w:szCs w:val="24"/>
        </w:rPr>
        <w:t>本次交易概述/五、本次交易对上市公司的影响/（一）本次交易对上市公司股权结构的影响”</w:t>
      </w:r>
      <w:r w:rsidR="006E67AD" w:rsidRPr="00AB4855">
        <w:rPr>
          <w:rFonts w:ascii="宋体" w:eastAsia="宋体" w:hAnsi="宋体" w:hint="eastAsia"/>
          <w:color w:val="000000"/>
          <w:sz w:val="24"/>
          <w:szCs w:val="24"/>
        </w:rPr>
        <w:t>、“第五节 发行股份情况/四、本次发行前后公司的股权架构”</w:t>
      </w:r>
      <w:r w:rsidR="00E33B72" w:rsidRPr="00AB4855">
        <w:rPr>
          <w:rFonts w:ascii="宋体" w:eastAsia="宋体" w:hAnsi="宋体" w:hint="eastAsia"/>
          <w:color w:val="000000"/>
          <w:sz w:val="24"/>
          <w:szCs w:val="24"/>
        </w:rPr>
        <w:t>部分</w:t>
      </w:r>
      <w:r w:rsidR="006E67AD" w:rsidRPr="00AB4855">
        <w:rPr>
          <w:rFonts w:ascii="宋体" w:eastAsia="宋体" w:hAnsi="宋体" w:hint="eastAsia"/>
          <w:color w:val="000000"/>
          <w:sz w:val="24"/>
          <w:szCs w:val="24"/>
        </w:rPr>
        <w:t>更新本次交易完成前后上市公司股本总额及股本结构变化情况的相关内容。</w:t>
      </w:r>
    </w:p>
    <w:p w:rsidR="00BB64E6" w:rsidRPr="00AB4855" w:rsidRDefault="00BB64E6" w:rsidP="00BB64E6">
      <w:pPr>
        <w:spacing w:line="360" w:lineRule="auto"/>
        <w:ind w:rightChars="20" w:right="42" w:firstLine="567"/>
        <w:rPr>
          <w:rFonts w:ascii="宋体" w:eastAsia="宋体" w:hAnsi="宋体"/>
          <w:color w:val="000000"/>
          <w:sz w:val="24"/>
          <w:szCs w:val="24"/>
        </w:rPr>
      </w:pPr>
      <w:r w:rsidRPr="00AB4855">
        <w:rPr>
          <w:rFonts w:ascii="宋体" w:eastAsia="宋体" w:hAnsi="宋体" w:hint="eastAsia"/>
          <w:color w:val="000000"/>
          <w:sz w:val="24"/>
          <w:szCs w:val="24"/>
        </w:rPr>
        <w:t>3、在</w:t>
      </w:r>
      <w:r w:rsidRPr="00AB4855">
        <w:rPr>
          <w:rFonts w:ascii="宋体" w:eastAsia="宋体" w:hAnsi="宋体"/>
          <w:color w:val="000000"/>
          <w:sz w:val="24"/>
          <w:szCs w:val="24"/>
        </w:rPr>
        <w:t>报告书</w:t>
      </w:r>
      <w:r w:rsidRPr="00AB4855">
        <w:rPr>
          <w:rFonts w:ascii="宋体" w:eastAsia="宋体" w:hAnsi="宋体" w:hint="eastAsia"/>
          <w:color w:val="000000"/>
          <w:sz w:val="24"/>
          <w:szCs w:val="24"/>
        </w:rPr>
        <w:t>“重大事项提示/四、本次交易</w:t>
      </w:r>
      <w:proofErr w:type="gramStart"/>
      <w:r w:rsidRPr="00AB4855">
        <w:rPr>
          <w:rFonts w:ascii="宋体" w:eastAsia="宋体" w:hAnsi="宋体" w:hint="eastAsia"/>
          <w:color w:val="000000"/>
          <w:sz w:val="24"/>
          <w:szCs w:val="24"/>
        </w:rPr>
        <w:t>不</w:t>
      </w:r>
      <w:proofErr w:type="gramEnd"/>
      <w:r w:rsidRPr="00AB4855">
        <w:rPr>
          <w:rFonts w:ascii="宋体" w:eastAsia="宋体" w:hAnsi="宋体" w:hint="eastAsia"/>
          <w:color w:val="000000"/>
          <w:sz w:val="24"/>
          <w:szCs w:val="24"/>
        </w:rPr>
        <w:t>导致实际控制权的变化、不构成借壳上市”、“第一节 本次交易概述/八、本次交易</w:t>
      </w:r>
      <w:proofErr w:type="gramStart"/>
      <w:r w:rsidRPr="00AB4855">
        <w:rPr>
          <w:rFonts w:ascii="宋体" w:eastAsia="宋体" w:hAnsi="宋体" w:hint="eastAsia"/>
          <w:color w:val="000000"/>
          <w:sz w:val="24"/>
          <w:szCs w:val="24"/>
        </w:rPr>
        <w:t>不</w:t>
      </w:r>
      <w:proofErr w:type="gramEnd"/>
      <w:r w:rsidRPr="00AB4855">
        <w:rPr>
          <w:rFonts w:ascii="宋体" w:eastAsia="宋体" w:hAnsi="宋体" w:hint="eastAsia"/>
          <w:color w:val="000000"/>
          <w:sz w:val="24"/>
          <w:szCs w:val="24"/>
        </w:rPr>
        <w:t>导致公司实际控制权的变化、不构成借壳上市”部分更新本次交易完成前后上市公司股本总额及股本结构变化情况的相关内容。</w:t>
      </w:r>
    </w:p>
    <w:p w:rsidR="006E67AD" w:rsidRPr="00AB4855" w:rsidRDefault="00BB64E6" w:rsidP="00BB64E6">
      <w:pPr>
        <w:spacing w:line="360" w:lineRule="auto"/>
        <w:ind w:rightChars="20" w:right="42" w:firstLine="567"/>
        <w:rPr>
          <w:rFonts w:ascii="宋体" w:eastAsia="宋体" w:hAnsi="宋体"/>
          <w:color w:val="000000"/>
          <w:sz w:val="24"/>
          <w:szCs w:val="24"/>
        </w:rPr>
      </w:pPr>
      <w:r w:rsidRPr="00AB4855">
        <w:rPr>
          <w:rFonts w:ascii="宋体" w:eastAsia="宋体" w:hAnsi="宋体"/>
          <w:color w:val="000000"/>
          <w:sz w:val="24"/>
          <w:szCs w:val="24"/>
        </w:rPr>
        <w:t>4</w:t>
      </w:r>
      <w:r w:rsidR="00644BD4" w:rsidRPr="00AB4855">
        <w:rPr>
          <w:rFonts w:ascii="宋体" w:eastAsia="宋体" w:hAnsi="宋体" w:hint="eastAsia"/>
          <w:color w:val="000000"/>
          <w:sz w:val="24"/>
          <w:szCs w:val="24"/>
        </w:rPr>
        <w:t>、</w:t>
      </w:r>
      <w:r w:rsidR="006E67AD" w:rsidRPr="00AB4855">
        <w:rPr>
          <w:rFonts w:ascii="宋体" w:eastAsia="宋体" w:hAnsi="宋体"/>
          <w:color w:val="000000"/>
          <w:sz w:val="24"/>
          <w:szCs w:val="24"/>
        </w:rPr>
        <w:t>在报告书</w:t>
      </w:r>
      <w:r w:rsidR="0021189A" w:rsidRPr="00AB4855">
        <w:rPr>
          <w:rFonts w:ascii="宋体" w:eastAsia="宋体" w:hAnsi="宋体" w:hint="eastAsia"/>
          <w:color w:val="000000"/>
          <w:sz w:val="24"/>
          <w:szCs w:val="24"/>
        </w:rPr>
        <w:t>“</w:t>
      </w:r>
      <w:r w:rsidR="006E67AD" w:rsidRPr="00AB4855">
        <w:rPr>
          <w:rFonts w:ascii="宋体" w:eastAsia="宋体" w:hAnsi="宋体" w:hint="eastAsia"/>
          <w:color w:val="000000"/>
          <w:sz w:val="24"/>
          <w:szCs w:val="24"/>
        </w:rPr>
        <w:t>重大事项提示</w:t>
      </w:r>
      <w:r w:rsidR="0021189A" w:rsidRPr="00AB4855">
        <w:rPr>
          <w:rFonts w:ascii="宋体" w:eastAsia="宋体" w:hAnsi="宋体"/>
          <w:color w:val="000000"/>
          <w:sz w:val="24"/>
          <w:szCs w:val="24"/>
        </w:rPr>
        <w:t>/</w:t>
      </w:r>
      <w:r w:rsidR="006E67AD" w:rsidRPr="00AB4855">
        <w:rPr>
          <w:rFonts w:ascii="宋体" w:eastAsia="宋体" w:hAnsi="宋体" w:hint="eastAsia"/>
          <w:color w:val="000000"/>
          <w:sz w:val="24"/>
          <w:szCs w:val="24"/>
        </w:rPr>
        <w:t>九、</w:t>
      </w:r>
      <w:bookmarkStart w:id="0" w:name="_GoBack"/>
      <w:bookmarkEnd w:id="0"/>
      <w:r w:rsidR="006E67AD" w:rsidRPr="00AB4855">
        <w:rPr>
          <w:rFonts w:ascii="宋体" w:eastAsia="宋体" w:hAnsi="宋体" w:hint="eastAsia"/>
          <w:color w:val="000000"/>
          <w:sz w:val="24"/>
          <w:szCs w:val="24"/>
        </w:rPr>
        <w:t>本次交易已履行及尚需履行的决策程序</w:t>
      </w:r>
      <w:r w:rsidR="006E67AD" w:rsidRPr="00AB4855">
        <w:rPr>
          <w:rFonts w:ascii="宋体" w:eastAsia="宋体" w:hAnsi="宋体" w:hint="eastAsia"/>
          <w:color w:val="000000"/>
          <w:sz w:val="24"/>
          <w:szCs w:val="24"/>
        </w:rPr>
        <w:lastRenderedPageBreak/>
        <w:t>及报批程序</w:t>
      </w:r>
      <w:r w:rsidR="0021189A" w:rsidRPr="00AB4855">
        <w:rPr>
          <w:rFonts w:ascii="宋体" w:eastAsia="宋体" w:hAnsi="宋体" w:hint="eastAsia"/>
          <w:color w:val="000000"/>
          <w:sz w:val="24"/>
          <w:szCs w:val="24"/>
        </w:rPr>
        <w:t>”</w:t>
      </w:r>
      <w:r w:rsidR="006E67AD" w:rsidRPr="00AB4855">
        <w:rPr>
          <w:rFonts w:ascii="宋体" w:eastAsia="宋体" w:hAnsi="宋体" w:hint="eastAsia"/>
          <w:color w:val="000000"/>
          <w:sz w:val="24"/>
          <w:szCs w:val="24"/>
        </w:rPr>
        <w:t>、“第一节 本次交易概述</w:t>
      </w:r>
      <w:r w:rsidR="006E67AD" w:rsidRPr="00AB4855">
        <w:rPr>
          <w:rFonts w:ascii="宋体" w:eastAsia="宋体" w:hAnsi="宋体"/>
          <w:color w:val="000000"/>
          <w:sz w:val="24"/>
          <w:szCs w:val="24"/>
        </w:rPr>
        <w:t>/</w:t>
      </w:r>
      <w:r w:rsidR="006E67AD" w:rsidRPr="00AB4855">
        <w:rPr>
          <w:rFonts w:ascii="宋体" w:eastAsia="宋体" w:hAnsi="宋体" w:hint="eastAsia"/>
          <w:color w:val="000000"/>
          <w:sz w:val="24"/>
          <w:szCs w:val="24"/>
        </w:rPr>
        <w:t>三、本次交易的决策过程”</w:t>
      </w:r>
      <w:r w:rsidR="00E33B72" w:rsidRPr="00AB4855">
        <w:rPr>
          <w:rFonts w:ascii="宋体" w:eastAsia="宋体" w:hAnsi="宋体" w:hint="eastAsia"/>
          <w:color w:val="000000"/>
          <w:sz w:val="24"/>
          <w:szCs w:val="24"/>
        </w:rPr>
        <w:t>部分</w:t>
      </w:r>
      <w:r w:rsidR="006E67AD" w:rsidRPr="00AB4855">
        <w:rPr>
          <w:rFonts w:ascii="宋体" w:eastAsia="宋体" w:hAnsi="宋体" w:hint="eastAsia"/>
          <w:color w:val="000000"/>
          <w:sz w:val="24"/>
          <w:szCs w:val="24"/>
        </w:rPr>
        <w:t>更新了本次交易</w:t>
      </w:r>
      <w:r w:rsidR="004F2366" w:rsidRPr="00AB4855">
        <w:rPr>
          <w:rFonts w:ascii="宋体" w:eastAsia="宋体" w:hAnsi="宋体" w:hint="eastAsia"/>
          <w:color w:val="000000"/>
          <w:sz w:val="24"/>
          <w:szCs w:val="24"/>
        </w:rPr>
        <w:t>获得的批准情况</w:t>
      </w:r>
      <w:r w:rsidR="006E67AD" w:rsidRPr="00AB4855">
        <w:rPr>
          <w:rFonts w:ascii="宋体" w:eastAsia="宋体" w:hAnsi="宋体" w:hint="eastAsia"/>
          <w:color w:val="000000"/>
          <w:sz w:val="24"/>
          <w:szCs w:val="24"/>
        </w:rPr>
        <w:t>。</w:t>
      </w:r>
    </w:p>
    <w:p w:rsidR="001A33B3" w:rsidRPr="00AB4855" w:rsidRDefault="001A33B3" w:rsidP="00BB64E6">
      <w:pPr>
        <w:spacing w:line="360" w:lineRule="auto"/>
        <w:ind w:rightChars="20" w:right="42" w:firstLine="567"/>
        <w:rPr>
          <w:rFonts w:ascii="宋体" w:eastAsia="宋体" w:hAnsi="宋体"/>
          <w:color w:val="000000"/>
          <w:sz w:val="24"/>
          <w:szCs w:val="24"/>
        </w:rPr>
      </w:pPr>
      <w:r w:rsidRPr="00AB4855">
        <w:rPr>
          <w:rFonts w:ascii="宋体" w:eastAsia="宋体" w:hAnsi="宋体" w:hint="eastAsia"/>
          <w:color w:val="000000"/>
          <w:sz w:val="24"/>
          <w:szCs w:val="24"/>
        </w:rPr>
        <w:t>5、在报告书“重大风险提示</w:t>
      </w:r>
      <w:r w:rsidRPr="00AB4855">
        <w:rPr>
          <w:rFonts w:ascii="宋体" w:eastAsia="宋体" w:hAnsi="宋体"/>
          <w:color w:val="000000"/>
          <w:sz w:val="24"/>
          <w:szCs w:val="24"/>
        </w:rPr>
        <w:t>/</w:t>
      </w:r>
      <w:r w:rsidRPr="00AB4855">
        <w:rPr>
          <w:rFonts w:ascii="宋体" w:eastAsia="宋体" w:hAnsi="宋体" w:hint="eastAsia"/>
          <w:color w:val="000000"/>
          <w:sz w:val="24"/>
          <w:szCs w:val="24"/>
        </w:rPr>
        <w:t>一、本次交易相关的风险”</w:t>
      </w:r>
      <w:r w:rsidR="004F2366" w:rsidRPr="00AB4855">
        <w:rPr>
          <w:rFonts w:ascii="宋体" w:eastAsia="宋体" w:hAnsi="宋体" w:hint="eastAsia"/>
          <w:color w:val="000000"/>
          <w:sz w:val="24"/>
          <w:szCs w:val="24"/>
        </w:rPr>
        <w:t>及</w:t>
      </w:r>
      <w:r w:rsidR="00FE4741" w:rsidRPr="00AB4855">
        <w:rPr>
          <w:rFonts w:ascii="宋体" w:eastAsia="宋体" w:hAnsi="宋体" w:hint="eastAsia"/>
          <w:color w:val="000000"/>
          <w:sz w:val="24"/>
          <w:szCs w:val="24"/>
        </w:rPr>
        <w:t>“第十二节 风险因素</w:t>
      </w:r>
      <w:r w:rsidR="00FE4741" w:rsidRPr="00AB4855">
        <w:rPr>
          <w:rFonts w:ascii="宋体" w:eastAsia="宋体" w:hAnsi="宋体"/>
          <w:color w:val="000000"/>
          <w:sz w:val="24"/>
          <w:szCs w:val="24"/>
        </w:rPr>
        <w:t>/</w:t>
      </w:r>
      <w:r w:rsidR="00FE4741" w:rsidRPr="00AB4855">
        <w:rPr>
          <w:rFonts w:ascii="宋体" w:eastAsia="宋体" w:hAnsi="宋体" w:hint="eastAsia"/>
          <w:color w:val="000000"/>
          <w:sz w:val="24"/>
          <w:szCs w:val="24"/>
        </w:rPr>
        <w:t>一、本次交易相关的风险”删除</w:t>
      </w:r>
      <w:r w:rsidR="004F2366" w:rsidRPr="00AB4855">
        <w:rPr>
          <w:rFonts w:ascii="宋体" w:eastAsia="宋体" w:hAnsi="宋体" w:hint="eastAsia"/>
          <w:color w:val="000000"/>
          <w:sz w:val="24"/>
          <w:szCs w:val="24"/>
        </w:rPr>
        <w:t>本次重组审批风险</w:t>
      </w:r>
      <w:r w:rsidR="00FE4741" w:rsidRPr="00AB4855">
        <w:rPr>
          <w:rFonts w:ascii="宋体" w:eastAsia="宋体" w:hAnsi="宋体" w:hint="eastAsia"/>
          <w:color w:val="000000"/>
          <w:sz w:val="24"/>
          <w:szCs w:val="24"/>
        </w:rPr>
        <w:t>内容。</w:t>
      </w:r>
    </w:p>
    <w:p w:rsidR="00AB4855" w:rsidRDefault="00AB4855" w:rsidP="00226A8E">
      <w:pPr>
        <w:spacing w:line="360" w:lineRule="auto"/>
        <w:ind w:rightChars="20" w:right="42" w:firstLine="420"/>
        <w:rPr>
          <w:rFonts w:ascii="宋体" w:eastAsia="宋体" w:hAnsi="宋体" w:hint="eastAsia"/>
          <w:color w:val="000000"/>
          <w:sz w:val="24"/>
          <w:szCs w:val="24"/>
        </w:rPr>
      </w:pPr>
    </w:p>
    <w:p w:rsidR="005E2EDA" w:rsidRDefault="006E67AD" w:rsidP="00226A8E">
      <w:pPr>
        <w:spacing w:line="360" w:lineRule="auto"/>
        <w:ind w:rightChars="20" w:right="42" w:firstLine="420"/>
        <w:rPr>
          <w:rFonts w:ascii="Times New Roman" w:eastAsia="宋体" w:hAnsi="Times New Roman"/>
          <w:color w:val="000000"/>
          <w:sz w:val="24"/>
          <w:szCs w:val="24"/>
        </w:rPr>
      </w:pPr>
      <w:r w:rsidRPr="00AB4855">
        <w:rPr>
          <w:rFonts w:ascii="宋体" w:eastAsia="宋体" w:hAnsi="宋体" w:hint="eastAsia"/>
          <w:color w:val="000000"/>
          <w:sz w:val="24"/>
          <w:szCs w:val="24"/>
        </w:rPr>
        <w:t>特此说明</w:t>
      </w:r>
      <w:r w:rsidR="00AB4855">
        <w:rPr>
          <w:rFonts w:ascii="宋体" w:eastAsia="宋体" w:hAnsi="宋体" w:hint="eastAsia"/>
          <w:color w:val="000000"/>
          <w:sz w:val="24"/>
          <w:szCs w:val="24"/>
        </w:rPr>
        <w:t>。</w:t>
      </w:r>
    </w:p>
    <w:p w:rsidR="00C66C4B" w:rsidRDefault="00C66C4B" w:rsidP="00226A8E">
      <w:pPr>
        <w:spacing w:line="360" w:lineRule="auto"/>
        <w:ind w:rightChars="20" w:right="42" w:firstLine="420"/>
        <w:rPr>
          <w:rFonts w:ascii="Times New Roman" w:eastAsia="宋体" w:hAnsi="Times New Roman"/>
          <w:color w:val="000000"/>
          <w:sz w:val="24"/>
          <w:szCs w:val="24"/>
        </w:rPr>
      </w:pPr>
    </w:p>
    <w:p w:rsidR="00AB4855" w:rsidRPr="00AB4855" w:rsidRDefault="00AB4855" w:rsidP="00AB4855">
      <w:pPr>
        <w:spacing w:line="360" w:lineRule="auto"/>
        <w:ind w:rightChars="20" w:right="42" w:firstLine="420"/>
        <w:jc w:val="right"/>
        <w:rPr>
          <w:rFonts w:ascii="宋体" w:eastAsia="宋体" w:hAnsi="宋体"/>
          <w:color w:val="000000"/>
          <w:sz w:val="24"/>
          <w:szCs w:val="24"/>
        </w:rPr>
      </w:pPr>
      <w:r w:rsidRPr="00AB4855">
        <w:rPr>
          <w:rFonts w:ascii="宋体" w:eastAsia="宋体" w:hAnsi="宋体" w:hint="eastAsia"/>
          <w:color w:val="000000"/>
          <w:sz w:val="24"/>
          <w:szCs w:val="24"/>
        </w:rPr>
        <w:t>福建星网锐捷通讯股份有限公司</w:t>
      </w:r>
    </w:p>
    <w:p w:rsidR="00AB4855" w:rsidRPr="00AB4855" w:rsidRDefault="00AB4855" w:rsidP="00AB4855">
      <w:pPr>
        <w:spacing w:line="360" w:lineRule="auto"/>
        <w:ind w:rightChars="20" w:right="42" w:firstLine="420"/>
        <w:jc w:val="right"/>
        <w:rPr>
          <w:rFonts w:ascii="宋体" w:eastAsia="宋体" w:hAnsi="宋体"/>
          <w:color w:val="000000"/>
          <w:sz w:val="24"/>
          <w:szCs w:val="24"/>
        </w:rPr>
      </w:pPr>
      <w:r w:rsidRPr="00AB4855">
        <w:rPr>
          <w:rFonts w:ascii="宋体" w:eastAsia="宋体" w:hAnsi="宋体" w:hint="eastAsia"/>
          <w:color w:val="000000"/>
          <w:sz w:val="24"/>
          <w:szCs w:val="24"/>
        </w:rPr>
        <w:t>董事会</w:t>
      </w:r>
    </w:p>
    <w:p w:rsidR="006E67AD" w:rsidRPr="00AB4855" w:rsidRDefault="00AB4855" w:rsidP="00AB4855">
      <w:pPr>
        <w:spacing w:line="360" w:lineRule="auto"/>
        <w:ind w:rightChars="20" w:right="42" w:firstLine="420"/>
        <w:jc w:val="right"/>
        <w:rPr>
          <w:rFonts w:ascii="宋体" w:eastAsia="宋体" w:hAnsi="宋体"/>
          <w:color w:val="000000"/>
          <w:sz w:val="24"/>
          <w:szCs w:val="24"/>
        </w:rPr>
      </w:pPr>
      <w:r w:rsidRPr="00AB4855">
        <w:rPr>
          <w:rFonts w:ascii="宋体" w:eastAsia="宋体" w:hAnsi="宋体"/>
          <w:color w:val="000000"/>
          <w:sz w:val="24"/>
          <w:szCs w:val="24"/>
        </w:rPr>
        <w:t>2017年7月26日</w:t>
      </w:r>
    </w:p>
    <w:sectPr w:rsidR="006E67AD" w:rsidRPr="00AB4855" w:rsidSect="004A668E">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82" w:rsidRDefault="00BC2182" w:rsidP="00797578">
      <w:r>
        <w:separator/>
      </w:r>
    </w:p>
  </w:endnote>
  <w:endnote w:type="continuationSeparator" w:id="0">
    <w:p w:rsidR="00BC2182" w:rsidRDefault="00BC2182" w:rsidP="0079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8E" w:rsidRDefault="004A668E" w:rsidP="004A668E">
    <w:pPr>
      <w:pStyle w:val="a4"/>
      <w:jc w:val="center"/>
    </w:pPr>
    <w:r>
      <w:fldChar w:fldCharType="begin"/>
    </w:r>
    <w:r>
      <w:instrText>PAGE   \* MERGEFORMAT</w:instrText>
    </w:r>
    <w:r>
      <w:fldChar w:fldCharType="separate"/>
    </w:r>
    <w:r w:rsidRPr="004A668E">
      <w:rPr>
        <w:noProof/>
        <w:lang w:val="zh-CN"/>
      </w:rPr>
      <w:t>-</w:t>
    </w:r>
    <w:r>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82" w:rsidRDefault="00BC2182" w:rsidP="00797578">
      <w:r>
        <w:separator/>
      </w:r>
    </w:p>
  </w:footnote>
  <w:footnote w:type="continuationSeparator" w:id="0">
    <w:p w:rsidR="00BC2182" w:rsidRDefault="00BC2182" w:rsidP="0079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A0" w:rsidRDefault="009F2FA0" w:rsidP="009F2FA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7C64"/>
    <w:rsid w:val="000161AA"/>
    <w:rsid w:val="00017ACB"/>
    <w:rsid w:val="00021AB1"/>
    <w:rsid w:val="000307A6"/>
    <w:rsid w:val="000322A3"/>
    <w:rsid w:val="00057BCB"/>
    <w:rsid w:val="00057FEF"/>
    <w:rsid w:val="000725B8"/>
    <w:rsid w:val="00073EF9"/>
    <w:rsid w:val="00090657"/>
    <w:rsid w:val="0009785E"/>
    <w:rsid w:val="000C5FC9"/>
    <w:rsid w:val="000E5A56"/>
    <w:rsid w:val="00101214"/>
    <w:rsid w:val="00135BDD"/>
    <w:rsid w:val="001369B4"/>
    <w:rsid w:val="0014312F"/>
    <w:rsid w:val="00157C64"/>
    <w:rsid w:val="00172D73"/>
    <w:rsid w:val="001754F9"/>
    <w:rsid w:val="001A33B3"/>
    <w:rsid w:val="001B1763"/>
    <w:rsid w:val="001D0F2A"/>
    <w:rsid w:val="001D1CBD"/>
    <w:rsid w:val="001E00B0"/>
    <w:rsid w:val="0021189A"/>
    <w:rsid w:val="00211DD7"/>
    <w:rsid w:val="00212048"/>
    <w:rsid w:val="0021547D"/>
    <w:rsid w:val="002176A5"/>
    <w:rsid w:val="00226A8E"/>
    <w:rsid w:val="00237144"/>
    <w:rsid w:val="002374B6"/>
    <w:rsid w:val="0027478C"/>
    <w:rsid w:val="00290673"/>
    <w:rsid w:val="002A7AD3"/>
    <w:rsid w:val="002B32FB"/>
    <w:rsid w:val="002D4FFA"/>
    <w:rsid w:val="002D68B5"/>
    <w:rsid w:val="002E5BF0"/>
    <w:rsid w:val="0032491B"/>
    <w:rsid w:val="0034693A"/>
    <w:rsid w:val="00374697"/>
    <w:rsid w:val="003F26AB"/>
    <w:rsid w:val="00420553"/>
    <w:rsid w:val="004269EB"/>
    <w:rsid w:val="00453559"/>
    <w:rsid w:val="00455FAD"/>
    <w:rsid w:val="00475D7F"/>
    <w:rsid w:val="00482A64"/>
    <w:rsid w:val="00484008"/>
    <w:rsid w:val="00495987"/>
    <w:rsid w:val="004A668E"/>
    <w:rsid w:val="004B6E42"/>
    <w:rsid w:val="004F2366"/>
    <w:rsid w:val="00523B03"/>
    <w:rsid w:val="00577001"/>
    <w:rsid w:val="00590C08"/>
    <w:rsid w:val="005A467C"/>
    <w:rsid w:val="005B3602"/>
    <w:rsid w:val="005C36AB"/>
    <w:rsid w:val="005C74F9"/>
    <w:rsid w:val="005C7B79"/>
    <w:rsid w:val="005D1D0B"/>
    <w:rsid w:val="005E2EDA"/>
    <w:rsid w:val="00602CF0"/>
    <w:rsid w:val="0062538A"/>
    <w:rsid w:val="00625EA5"/>
    <w:rsid w:val="00637F1D"/>
    <w:rsid w:val="006409DE"/>
    <w:rsid w:val="00641E32"/>
    <w:rsid w:val="00644BD4"/>
    <w:rsid w:val="00670C92"/>
    <w:rsid w:val="00692216"/>
    <w:rsid w:val="006C1AA2"/>
    <w:rsid w:val="006D225B"/>
    <w:rsid w:val="006E67AD"/>
    <w:rsid w:val="00702F3C"/>
    <w:rsid w:val="007331EB"/>
    <w:rsid w:val="007718D3"/>
    <w:rsid w:val="007767E6"/>
    <w:rsid w:val="00795B60"/>
    <w:rsid w:val="00797578"/>
    <w:rsid w:val="007A6DF1"/>
    <w:rsid w:val="007C080B"/>
    <w:rsid w:val="007F24E3"/>
    <w:rsid w:val="00826CD9"/>
    <w:rsid w:val="00830D7A"/>
    <w:rsid w:val="00840E7B"/>
    <w:rsid w:val="00852BCF"/>
    <w:rsid w:val="00882720"/>
    <w:rsid w:val="00891544"/>
    <w:rsid w:val="008C02A8"/>
    <w:rsid w:val="008D28EB"/>
    <w:rsid w:val="008F6EA1"/>
    <w:rsid w:val="009060E2"/>
    <w:rsid w:val="00922CB2"/>
    <w:rsid w:val="009419B0"/>
    <w:rsid w:val="00971E73"/>
    <w:rsid w:val="00975597"/>
    <w:rsid w:val="0099539B"/>
    <w:rsid w:val="009B2327"/>
    <w:rsid w:val="009B371E"/>
    <w:rsid w:val="009D7005"/>
    <w:rsid w:val="009E6EA4"/>
    <w:rsid w:val="009F2FA0"/>
    <w:rsid w:val="00A1139E"/>
    <w:rsid w:val="00A11C3F"/>
    <w:rsid w:val="00A133F8"/>
    <w:rsid w:val="00A13906"/>
    <w:rsid w:val="00A32BA2"/>
    <w:rsid w:val="00A347B8"/>
    <w:rsid w:val="00A51C0E"/>
    <w:rsid w:val="00AA31AC"/>
    <w:rsid w:val="00AA4DA8"/>
    <w:rsid w:val="00AB0822"/>
    <w:rsid w:val="00AB4855"/>
    <w:rsid w:val="00AC2BA5"/>
    <w:rsid w:val="00AE7B0B"/>
    <w:rsid w:val="00B00696"/>
    <w:rsid w:val="00B20563"/>
    <w:rsid w:val="00B85AE8"/>
    <w:rsid w:val="00BB64E6"/>
    <w:rsid w:val="00BC2182"/>
    <w:rsid w:val="00BD5856"/>
    <w:rsid w:val="00BE27E1"/>
    <w:rsid w:val="00BE5180"/>
    <w:rsid w:val="00BE7F24"/>
    <w:rsid w:val="00BF1BA0"/>
    <w:rsid w:val="00C076FA"/>
    <w:rsid w:val="00C07CFA"/>
    <w:rsid w:val="00C15A5A"/>
    <w:rsid w:val="00C2427D"/>
    <w:rsid w:val="00C33308"/>
    <w:rsid w:val="00C42EA8"/>
    <w:rsid w:val="00C44B87"/>
    <w:rsid w:val="00C66C4B"/>
    <w:rsid w:val="00C8591D"/>
    <w:rsid w:val="00CA26FB"/>
    <w:rsid w:val="00CA7634"/>
    <w:rsid w:val="00CC579F"/>
    <w:rsid w:val="00CD0798"/>
    <w:rsid w:val="00CD1F23"/>
    <w:rsid w:val="00CF6B67"/>
    <w:rsid w:val="00D070A1"/>
    <w:rsid w:val="00D40D37"/>
    <w:rsid w:val="00D57A26"/>
    <w:rsid w:val="00D73F44"/>
    <w:rsid w:val="00D967E6"/>
    <w:rsid w:val="00DB4F45"/>
    <w:rsid w:val="00DC3D4E"/>
    <w:rsid w:val="00DD491E"/>
    <w:rsid w:val="00DD5737"/>
    <w:rsid w:val="00DD6459"/>
    <w:rsid w:val="00E0692E"/>
    <w:rsid w:val="00E10F0B"/>
    <w:rsid w:val="00E25B42"/>
    <w:rsid w:val="00E33A72"/>
    <w:rsid w:val="00E33B72"/>
    <w:rsid w:val="00E455C5"/>
    <w:rsid w:val="00E71E00"/>
    <w:rsid w:val="00E77669"/>
    <w:rsid w:val="00E968D4"/>
    <w:rsid w:val="00EC5F5C"/>
    <w:rsid w:val="00EC6DDA"/>
    <w:rsid w:val="00ED3875"/>
    <w:rsid w:val="00F03EE5"/>
    <w:rsid w:val="00F43C0F"/>
    <w:rsid w:val="00F44792"/>
    <w:rsid w:val="00F5059C"/>
    <w:rsid w:val="00F83537"/>
    <w:rsid w:val="00F8428A"/>
    <w:rsid w:val="00FB6186"/>
    <w:rsid w:val="00FB7DF1"/>
    <w:rsid w:val="00FD395E"/>
    <w:rsid w:val="00FE31E5"/>
    <w:rsid w:val="00FE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5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7578"/>
    <w:rPr>
      <w:sz w:val="18"/>
      <w:szCs w:val="18"/>
    </w:rPr>
  </w:style>
  <w:style w:type="paragraph" w:styleId="a4">
    <w:name w:val="footer"/>
    <w:basedOn w:val="a"/>
    <w:link w:val="Char0"/>
    <w:uiPriority w:val="99"/>
    <w:unhideWhenUsed/>
    <w:rsid w:val="00797578"/>
    <w:pPr>
      <w:tabs>
        <w:tab w:val="center" w:pos="4153"/>
        <w:tab w:val="right" w:pos="8306"/>
      </w:tabs>
      <w:snapToGrid w:val="0"/>
      <w:jc w:val="left"/>
    </w:pPr>
    <w:rPr>
      <w:sz w:val="18"/>
      <w:szCs w:val="18"/>
    </w:rPr>
  </w:style>
  <w:style w:type="character" w:customStyle="1" w:styleId="Char0">
    <w:name w:val="页脚 Char"/>
    <w:basedOn w:val="a0"/>
    <w:link w:val="a4"/>
    <w:uiPriority w:val="99"/>
    <w:rsid w:val="00797578"/>
    <w:rPr>
      <w:sz w:val="18"/>
      <w:szCs w:val="18"/>
    </w:rPr>
  </w:style>
  <w:style w:type="character" w:customStyle="1" w:styleId="fontstyle01">
    <w:name w:val="fontstyle01"/>
    <w:basedOn w:val="a0"/>
    <w:rsid w:val="00E77669"/>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dc:creator>
  <cp:keywords/>
  <dc:description/>
  <cp:lastModifiedBy>panyuanyuan</cp:lastModifiedBy>
  <cp:revision>24</cp:revision>
  <dcterms:created xsi:type="dcterms:W3CDTF">2017-07-15T16:58:00Z</dcterms:created>
  <dcterms:modified xsi:type="dcterms:W3CDTF">2017-07-26T03:35:00Z</dcterms:modified>
</cp:coreProperties>
</file>